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073" w:rsidRDefault="00B45073" w:rsidP="00B450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1290689" cy="571500"/>
            <wp:effectExtent l="0" t="0" r="5080" b="0"/>
            <wp:docPr id="1" name="Picture 1" descr="C:\Users\Lenovo User\Downloads\Untitled_design__92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enovo User\Downloads\Untitled_design__92_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3" t="32267" r="9866" b="32133"/>
                    <a:stretch/>
                  </pic:blipFill>
                  <pic:spPr bwMode="auto">
                    <a:xfrm>
                      <a:off x="0" y="0"/>
                      <a:ext cx="1358310" cy="60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5073" w:rsidRPr="00B45073" w:rsidRDefault="00B45073" w:rsidP="00B45073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ZA"/>
        </w:rPr>
        <w:t>STRATEGIC ACCESS</w:t>
      </w:r>
    </w:p>
    <w:p w:rsidR="00B45073" w:rsidRPr="00B45073" w:rsidRDefault="00B45073" w:rsidP="00B450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8"/>
          <w:szCs w:val="28"/>
          <w:lang w:eastAsia="en-ZA"/>
        </w:rPr>
        <w:t>A Doctrine of Institutional Seriousness</w:t>
      </w:r>
    </w:p>
    <w:p w:rsidR="00B45073" w:rsidRPr="00B45073" w:rsidRDefault="00B45073" w:rsidP="00B4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5" style="width:0;height:1.5pt" o:hralign="center" o:hrstd="t" o:hr="t" fillcolor="#a0a0a0" stroked="f"/>
        </w:pict>
      </w:r>
    </w:p>
    <w:p w:rsidR="00B45073" w:rsidRPr="00B45073" w:rsidRDefault="00B45073" w:rsidP="00B450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  <w:t>The Principle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Power does not announce itself. It establishes conditions.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In an era of capital realignment, geopolitical fragmentation, and accelerated technological cycles, the limiting factor is no longer ambition, talent, or visibility. I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t is institutional seriousness -</w:t>
      </w: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the capacity to think, decide, and act with coherence at scale.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This charter exists to protect that seriousness.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We do not sell availability. We do not compete for attention. We govern access.</w:t>
      </w:r>
    </w:p>
    <w:p w:rsidR="00B45073" w:rsidRPr="00B45073" w:rsidRDefault="00B45073" w:rsidP="00B4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51" style="width:0;height:1.5pt" o:hralign="center" o:hrstd="t" o:hr="t" fillcolor="#a0a0a0" stroked="f"/>
        </w:pict>
      </w:r>
    </w:p>
    <w:p w:rsidR="00B45073" w:rsidRPr="00B45073" w:rsidRDefault="00B45073" w:rsidP="00B450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  <w:t>The Condition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Institutions capable of shaping markets, policy, and long-term value share a defining trait: they retain judgment, govern authority, and align execution under a single strategic logic.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Access, therefore, is not administrative. It is strategic.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Every pathway below exists to surface one truth before engagement begins: </w:t>
      </w:r>
      <w:r w:rsidRPr="00B4507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whether an institution is prepared to operate at the level it claims.</w:t>
      </w:r>
    </w:p>
    <w:p w:rsidR="00B45073" w:rsidRPr="00B45073" w:rsidRDefault="00B45073" w:rsidP="00B4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49" style="width:0;height:1.5pt" o:hralign="center" o:hrstd="t" o:hr="t" fillcolor="#a0a0a0" stroked="f"/>
        </w:pict>
      </w:r>
    </w:p>
    <w:p w:rsidR="00B45073" w:rsidRPr="00B45073" w:rsidRDefault="00B45073" w:rsidP="00B450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  <w:t>The Gates of Access</w:t>
      </w:r>
    </w:p>
    <w:p w:rsidR="00B45073" w:rsidRPr="00B45073" w:rsidRDefault="00B45073" w:rsidP="00B45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1. Strategic Access Request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The Entry Gate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Reserved for leaders with materia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l authority and accountability -</w:t>
      </w: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board members, ministers, CEOs, fund principals, and chairs.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Evaluates:</w:t>
      </w:r>
    </w:p>
    <w:p w:rsidR="00B45073" w:rsidRPr="00B45073" w:rsidRDefault="00B45073" w:rsidP="00B4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Institutional role</w:t>
      </w:r>
    </w:p>
    <w:p w:rsidR="00B45073" w:rsidRPr="00B45073" w:rsidRDefault="00B45073" w:rsidP="00B4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Mandate scope</w:t>
      </w:r>
    </w:p>
    <w:p w:rsidR="00B45073" w:rsidRPr="00B45073" w:rsidRDefault="00B45073" w:rsidP="00B4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Primary strategic constraint</w:t>
      </w:r>
    </w:p>
    <w:p w:rsidR="00B45073" w:rsidRPr="00B45073" w:rsidRDefault="00B45073" w:rsidP="00B4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Leadership time horizon</w:t>
      </w:r>
    </w:p>
    <w:p w:rsidR="00B45073" w:rsidRPr="00B45073" w:rsidRDefault="00B45073" w:rsidP="00B45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Decision authority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This is not contact. It is intent.</w:t>
      </w:r>
    </w:p>
    <w:p w:rsidR="00B45073" w:rsidRPr="00B45073" w:rsidRDefault="00B45073" w:rsidP="00B4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8" style="width:0;height:1.5pt" o:hralign="center" o:hrstd="t" o:hr="t" fillcolor="#a0a0a0" stroked="f"/>
        </w:pict>
      </w:r>
    </w:p>
    <w:p w:rsidR="00B45073" w:rsidRPr="00B45073" w:rsidRDefault="00B45073" w:rsidP="00B45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2. Institutional Readiness Assessment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The Measure of Coherence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Establishes whether strategy, governance, and execution are aligned.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Evaluates:</w:t>
      </w:r>
    </w:p>
    <w:p w:rsidR="00B45073" w:rsidRPr="00B45073" w:rsidRDefault="00B45073" w:rsidP="00B45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Strategic coherence</w:t>
      </w:r>
    </w:p>
    <w:p w:rsidR="00B45073" w:rsidRPr="00B45073" w:rsidRDefault="00B45073" w:rsidP="00B45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Governance clarity</w:t>
      </w:r>
    </w:p>
    <w:p w:rsidR="00B45073" w:rsidRPr="00B45073" w:rsidRDefault="00B45073" w:rsidP="00B45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Capital readiness</w:t>
      </w:r>
    </w:p>
    <w:p w:rsidR="00B45073" w:rsidRPr="00B45073" w:rsidRDefault="00B45073" w:rsidP="00B45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Digital and data maturity</w:t>
      </w:r>
    </w:p>
    <w:p w:rsidR="00B45073" w:rsidRPr="00B45073" w:rsidRDefault="00B45073" w:rsidP="00B45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Capability sovereignty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Output: </w:t>
      </w:r>
      <w:r w:rsidRPr="00B4507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Fragmented · Transitional · Governed</w:t>
      </w:r>
    </w:p>
    <w:p w:rsidR="00B45073" w:rsidRPr="00B45073" w:rsidRDefault="00B45073" w:rsidP="00B4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9" style="width:0;height:1.5pt" o:hralign="center" o:hrstd="t" o:hr="t" fillcolor="#a0a0a0" stroked="f"/>
        </w:pict>
      </w:r>
    </w:p>
    <w:p w:rsidR="00B45073" w:rsidRPr="00B45073" w:rsidRDefault="00B45073" w:rsidP="00B45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3. Mandate Alignment Diagnostic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The Test of Accountability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Clarifies consequence, not aspiration.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Examines:</w:t>
      </w:r>
    </w:p>
    <w:p w:rsidR="00B45073" w:rsidRPr="00B45073" w:rsidRDefault="00B45073" w:rsidP="00B450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The mandate held</w:t>
      </w:r>
    </w:p>
    <w:p w:rsidR="00B45073" w:rsidRPr="00B45073" w:rsidRDefault="00B45073" w:rsidP="00B450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The cost of unresolved failure</w:t>
      </w:r>
    </w:p>
    <w:p w:rsidR="00B45073" w:rsidRPr="00B45073" w:rsidRDefault="00B45073" w:rsidP="00B450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Where decisions are constrained</w:t>
      </w:r>
    </w:p>
    <w:p w:rsidR="00B45073" w:rsidRPr="00B45073" w:rsidRDefault="00B45073" w:rsidP="00B450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Where authority breaks down</w:t>
      </w:r>
    </w:p>
    <w:p w:rsidR="00B45073" w:rsidRPr="00B45073" w:rsidRDefault="00B45073" w:rsidP="00B4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0" style="width:0;height:1.5pt" o:hralign="center" o:hrstd="t" o:hr="t" fillcolor="#a0a0a0" stroked="f"/>
        </w:pict>
      </w:r>
    </w:p>
    <w:p w:rsidR="00B45073" w:rsidRPr="00B45073" w:rsidRDefault="00B45073" w:rsidP="00B45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4. Capital Confidence Diagnostic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The Credibility Test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Assesses institutional legibility to capital.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Evaluates:</w:t>
      </w:r>
    </w:p>
    <w:p w:rsidR="00B45073" w:rsidRPr="00B45073" w:rsidRDefault="00B45073" w:rsidP="00B450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Decision traceability</w:t>
      </w:r>
    </w:p>
    <w:p w:rsidR="00B45073" w:rsidRPr="00B45073" w:rsidRDefault="00B45073" w:rsidP="00B450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Data confidence</w:t>
      </w:r>
    </w:p>
    <w:p w:rsidR="00B45073" w:rsidRPr="00B45073" w:rsidRDefault="00B45073" w:rsidP="00B450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Governance </w:t>
      </w:r>
      <w:proofErr w:type="spellStart"/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signaling</w:t>
      </w:r>
      <w:proofErr w:type="spellEnd"/>
    </w:p>
    <w:p w:rsidR="00B45073" w:rsidRPr="00B45073" w:rsidRDefault="00B45073" w:rsidP="00B450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Market legibility</w:t>
      </w:r>
    </w:p>
    <w:p w:rsidR="00B45073" w:rsidRPr="00B45073" w:rsidRDefault="00B45073" w:rsidP="00B450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Risk narrative coherence</w:t>
      </w:r>
    </w:p>
    <w:p w:rsidR="00B45073" w:rsidRPr="00B45073" w:rsidRDefault="00B45073" w:rsidP="00B4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1" style="width:0;height:1.5pt" o:hralign="center" o:hrstd="t" o:hr="t" fillcolor="#a0a0a0" stroked="f"/>
        </w:pict>
      </w:r>
    </w:p>
    <w:p w:rsidR="00B45073" w:rsidRPr="00B45073" w:rsidRDefault="00B45073" w:rsidP="00B45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5. Executive Orientation Request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The Exposure Threshold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Orientation assesses strategic fit. It does not scope services. Participation does not imply engagement.</w:t>
      </w:r>
    </w:p>
    <w:p w:rsidR="00B45073" w:rsidRPr="00B45073" w:rsidRDefault="00B45073" w:rsidP="00B4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2" style="width:0;height:1.5pt" o:hralign="center" o:hrstd="t" o:hr="t" fillcolor="#a0a0a0" stroked="f"/>
        </w:pict>
      </w:r>
    </w:p>
    <w:p w:rsidR="00B45073" w:rsidRPr="00B45073" w:rsidRDefault="00B45073" w:rsidP="00B45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6. Capability Sovereignty Check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The Contrarian Test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Examines:</w:t>
      </w:r>
    </w:p>
    <w:p w:rsidR="00B45073" w:rsidRPr="00B45073" w:rsidRDefault="00B45073" w:rsidP="00B450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What thinking is outsourced</w:t>
      </w:r>
    </w:p>
    <w:p w:rsidR="00B45073" w:rsidRPr="00B45073" w:rsidRDefault="00B45073" w:rsidP="00B450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Where institutional memory resides</w:t>
      </w:r>
    </w:p>
    <w:p w:rsidR="00B45073" w:rsidRPr="00B45073" w:rsidRDefault="00B45073" w:rsidP="00B450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Who governs direction</w:t>
      </w:r>
    </w:p>
    <w:p w:rsidR="00B45073" w:rsidRPr="00B45073" w:rsidRDefault="00B45073" w:rsidP="00B450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How decisions persist across leadership transitions</w:t>
      </w:r>
    </w:p>
    <w:p w:rsidR="00B45073" w:rsidRPr="00B45073" w:rsidRDefault="00B45073" w:rsidP="00B4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3" style="width:0;height:1.5pt" o:hralign="center" o:hrstd="t" o:hr="t" fillcolor="#a0a0a0" stroked="f"/>
        </w:pict>
      </w:r>
    </w:p>
    <w:p w:rsidR="00B45073" w:rsidRPr="00B45073" w:rsidRDefault="00B45073" w:rsidP="00B450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  <w:t>The Closing Condition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This charter replaces noise with signal, access with intention, and engagement with consequence.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No one is excluded. Not everyone proceeds.</w:t>
      </w:r>
    </w:p>
    <w:p w:rsidR="00B45073" w:rsidRPr="00B45073" w:rsidRDefault="00B45073" w:rsidP="00B4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t>That is how institutions designed to endure are governed.</w:t>
      </w:r>
    </w:p>
    <w:p w:rsidR="00B45073" w:rsidRPr="00B45073" w:rsidRDefault="00B45073" w:rsidP="00B4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4" style="width:0;height:1.5pt" o:hralign="center" o:hrstd="t" o:hr="t" fillcolor="#a0a0a0" stroked="f"/>
        </w:pict>
      </w:r>
    </w:p>
    <w:p w:rsidR="00D26428" w:rsidRPr="00B45073" w:rsidRDefault="00B45073" w:rsidP="00B9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 w:rsidRPr="00B4507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Strategic Access is not requested lightly.</w:t>
      </w:r>
      <w:r w:rsidRPr="00B4507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B4507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It is entered deliberately.</w:t>
      </w:r>
    </w:p>
    <w:p w:rsidR="00AF5BB5" w:rsidRDefault="00AF5BB5"/>
    <w:sectPr w:rsidR="00AF5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77B6"/>
    <w:multiLevelType w:val="multilevel"/>
    <w:tmpl w:val="C25E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C3249"/>
    <w:multiLevelType w:val="multilevel"/>
    <w:tmpl w:val="B756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A6AA9"/>
    <w:multiLevelType w:val="multilevel"/>
    <w:tmpl w:val="3CB4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431AA"/>
    <w:multiLevelType w:val="multilevel"/>
    <w:tmpl w:val="23C6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B241D"/>
    <w:multiLevelType w:val="multilevel"/>
    <w:tmpl w:val="5426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73"/>
    <w:rsid w:val="00AF5BB5"/>
    <w:rsid w:val="00B45073"/>
    <w:rsid w:val="00B96FE4"/>
    <w:rsid w:val="00D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D50FD6"/>
  <w15:chartTrackingRefBased/>
  <w15:docId w15:val="{353378A3-35E6-4E34-AFEB-F70991D6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5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Heading2">
    <w:name w:val="heading 2"/>
    <w:basedOn w:val="Normal"/>
    <w:link w:val="Heading2Char"/>
    <w:uiPriority w:val="9"/>
    <w:qFormat/>
    <w:rsid w:val="00B45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paragraph" w:styleId="Heading3">
    <w:name w:val="heading 3"/>
    <w:basedOn w:val="Normal"/>
    <w:link w:val="Heading3Char"/>
    <w:uiPriority w:val="9"/>
    <w:qFormat/>
    <w:rsid w:val="00B45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073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B45073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B45073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customStyle="1" w:styleId="min-w-0">
    <w:name w:val="min-w-0"/>
    <w:basedOn w:val="DefaultParagraphFont"/>
    <w:rsid w:val="00B45073"/>
  </w:style>
  <w:style w:type="paragraph" w:styleId="NormalWeb">
    <w:name w:val="Normal (Web)"/>
    <w:basedOn w:val="Normal"/>
    <w:uiPriority w:val="99"/>
    <w:semiHidden/>
    <w:unhideWhenUsed/>
    <w:rsid w:val="00B4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B45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9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0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54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9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18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01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77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99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46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69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98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2026-02-08T21:46:00Z</cp:lastPrinted>
  <dcterms:created xsi:type="dcterms:W3CDTF">2026-02-08T21:47:00Z</dcterms:created>
  <dcterms:modified xsi:type="dcterms:W3CDTF">2026-02-08T21:47:00Z</dcterms:modified>
</cp:coreProperties>
</file>